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7F293" w14:textId="22C60CFD" w:rsidR="00224CD1" w:rsidRDefault="00224CD1" w:rsidP="00F60F5A">
      <w:pPr>
        <w:spacing w:after="0"/>
        <w:contextualSpacing/>
        <w:rPr>
          <w:lang w:val="en-US"/>
        </w:rPr>
      </w:pPr>
      <w:r>
        <w:rPr>
          <w:lang w:val="en-US"/>
        </w:rPr>
        <w:t>Student’s Name</w:t>
      </w:r>
    </w:p>
    <w:p w14:paraId="22ED00F5" w14:textId="682AB200" w:rsidR="00224CD1" w:rsidRDefault="00224CD1" w:rsidP="00F60F5A">
      <w:pPr>
        <w:spacing w:after="0"/>
        <w:contextualSpacing/>
        <w:rPr>
          <w:lang w:val="en-US"/>
        </w:rPr>
      </w:pPr>
      <w:r>
        <w:rPr>
          <w:lang w:val="en-US"/>
        </w:rPr>
        <w:t>Professor’s Name</w:t>
      </w:r>
    </w:p>
    <w:p w14:paraId="385221E6" w14:textId="196DD4CC" w:rsidR="00224CD1" w:rsidRDefault="00224CD1" w:rsidP="00F60F5A">
      <w:pPr>
        <w:spacing w:after="0"/>
        <w:contextualSpacing/>
        <w:rPr>
          <w:lang w:val="en-US"/>
        </w:rPr>
      </w:pPr>
      <w:r>
        <w:rPr>
          <w:lang w:val="en-US"/>
        </w:rPr>
        <w:t xml:space="preserve">Course </w:t>
      </w:r>
    </w:p>
    <w:p w14:paraId="258966A9" w14:textId="2AA4D379" w:rsidR="00224CD1" w:rsidRDefault="00224CD1" w:rsidP="00F60F5A">
      <w:pPr>
        <w:spacing w:after="0"/>
        <w:contextualSpacing/>
        <w:rPr>
          <w:lang w:val="en-US"/>
        </w:rPr>
      </w:pPr>
      <w:r>
        <w:rPr>
          <w:lang w:val="en-US"/>
        </w:rPr>
        <w:t xml:space="preserve">Date </w:t>
      </w:r>
    </w:p>
    <w:p w14:paraId="10518773" w14:textId="6D4F5B9F" w:rsidR="00224CD1" w:rsidRDefault="00224CD1" w:rsidP="00F60F5A">
      <w:pPr>
        <w:spacing w:after="0"/>
        <w:contextualSpacing/>
        <w:jc w:val="center"/>
        <w:rPr>
          <w:lang w:val="en-US"/>
        </w:rPr>
      </w:pPr>
      <w:r w:rsidRPr="00224CD1">
        <w:rPr>
          <w:lang w:val="en-US"/>
        </w:rPr>
        <w:t>Chapter 6</w:t>
      </w:r>
      <w:r>
        <w:rPr>
          <w:lang w:val="en-US"/>
        </w:rPr>
        <w:t xml:space="preserve">: Prediction </w:t>
      </w:r>
    </w:p>
    <w:p w14:paraId="1DA01636" w14:textId="647AD0A4" w:rsidR="007F16E9" w:rsidRDefault="00224CD1" w:rsidP="00F60F5A">
      <w:pPr>
        <w:spacing w:after="0"/>
        <w:ind w:firstLine="720"/>
        <w:contextualSpacing/>
        <w:rPr>
          <w:lang w:val="en-US"/>
        </w:rPr>
      </w:pPr>
      <w:r>
        <w:rPr>
          <w:lang w:val="en-US"/>
        </w:rPr>
        <w:t>I</w:t>
      </w:r>
      <w:r w:rsidR="00505E6E">
        <w:rPr>
          <w:lang w:val="en-US"/>
        </w:rPr>
        <w:t>t is always impossible to ignore each party’s culture’s role in influencing it in relationship matters</w:t>
      </w:r>
      <w:r>
        <w:rPr>
          <w:lang w:val="en-US"/>
        </w:rPr>
        <w:t>. A perfect case for this is Maxine and Gogol’s relationship in which Gogol has not yet accepted his roots. The conflict arises in the case where Gogol fails to understand that his culture is completely different from Maxine’s. He, therefore, gives himself to this new way of life that is seeing with the Ratliff</w:t>
      </w:r>
      <w:r w:rsidR="00505E6E">
        <w:rPr>
          <w:lang w:val="en-US"/>
        </w:rPr>
        <w:t>’</w:t>
      </w:r>
      <w:r>
        <w:rPr>
          <w:lang w:val="en-US"/>
        </w:rPr>
        <w:t xml:space="preserve">s. By </w:t>
      </w:r>
      <w:r w:rsidR="00505E6E">
        <w:rPr>
          <w:lang w:val="en-US"/>
        </w:rPr>
        <w:t>looking at</w:t>
      </w:r>
      <w:r>
        <w:rPr>
          <w:lang w:val="en-US"/>
        </w:rPr>
        <w:t xml:space="preserve"> things and how the relationship is progressing, it is possible to predict how things will turn out. Based on the progression of </w:t>
      </w:r>
      <w:proofErr w:type="spellStart"/>
      <w:r>
        <w:rPr>
          <w:lang w:val="en-US"/>
        </w:rPr>
        <w:t>Lahiri’s</w:t>
      </w:r>
      <w:proofErr w:type="spellEnd"/>
      <w:r>
        <w:rPr>
          <w:lang w:val="en-US"/>
        </w:rPr>
        <w:t xml:space="preserve"> story, “The Namesake,” one predictable thing is that the relationship between </w:t>
      </w:r>
      <w:r>
        <w:rPr>
          <w:lang w:val="en-US"/>
        </w:rPr>
        <w:t>Maxine and Gogol</w:t>
      </w:r>
      <w:r>
        <w:rPr>
          <w:lang w:val="en-US"/>
        </w:rPr>
        <w:t xml:space="preserve"> is likely to fail mainly because of the cultural issue. </w:t>
      </w:r>
    </w:p>
    <w:p w14:paraId="7E53EB10" w14:textId="17A49DB5" w:rsidR="00F60F5A" w:rsidRDefault="00F60F5A" w:rsidP="00F60F5A">
      <w:pPr>
        <w:spacing w:after="0"/>
        <w:ind w:firstLine="720"/>
        <w:contextualSpacing/>
        <w:rPr>
          <w:lang w:val="en-US"/>
        </w:rPr>
      </w:pPr>
      <w:r>
        <w:rPr>
          <w:lang w:val="en-US"/>
        </w:rPr>
        <w:t>The relationship has fewer chances of succeeding because of</w:t>
      </w:r>
      <w:r w:rsidR="00224CD1">
        <w:rPr>
          <w:lang w:val="en-US"/>
        </w:rPr>
        <w:t xml:space="preserve"> </w:t>
      </w:r>
      <w:r>
        <w:rPr>
          <w:lang w:val="en-US"/>
        </w:rPr>
        <w:t>Gogol’s view</w:t>
      </w:r>
      <w:r w:rsidR="00224CD1">
        <w:rPr>
          <w:lang w:val="en-US"/>
        </w:rPr>
        <w:t xml:space="preserve"> towards his culture. He views it as the best American culture because he admires the relational openness and physical affection that he sees i</w:t>
      </w:r>
      <w:r>
        <w:rPr>
          <w:lang w:val="en-US"/>
        </w:rPr>
        <w:t>n</w:t>
      </w:r>
      <w:r w:rsidR="00224CD1">
        <w:rPr>
          <w:lang w:val="en-US"/>
        </w:rPr>
        <w:t xml:space="preserve"> his girlfriend’s family.</w:t>
      </w:r>
      <w:r w:rsidR="00B140FF">
        <w:rPr>
          <w:lang w:val="en-US"/>
        </w:rPr>
        <w:t xml:space="preserve"> He even admires their living standards. </w:t>
      </w:r>
      <w:r w:rsidR="00224CD1">
        <w:rPr>
          <w:lang w:val="en-US"/>
        </w:rPr>
        <w:t xml:space="preserve"> </w:t>
      </w:r>
      <w:proofErr w:type="spellStart"/>
      <w:r w:rsidR="00B140FF" w:rsidRPr="00F60F5A">
        <w:rPr>
          <w:lang w:val="en-US"/>
        </w:rPr>
        <w:t>Lahiri</w:t>
      </w:r>
      <w:proofErr w:type="spellEnd"/>
      <w:r w:rsidR="00B140FF" w:rsidRPr="00B140FF">
        <w:rPr>
          <w:lang w:val="en-US"/>
        </w:rPr>
        <w:t xml:space="preserve"> </w:t>
      </w:r>
      <w:r w:rsidR="00B140FF">
        <w:rPr>
          <w:lang w:val="en-US"/>
        </w:rPr>
        <w:t>says, “</w:t>
      </w:r>
      <w:r w:rsidR="00B140FF" w:rsidRPr="00B140FF">
        <w:rPr>
          <w:lang w:val="en-US"/>
        </w:rPr>
        <w:t xml:space="preserve">The </w:t>
      </w:r>
      <w:proofErr w:type="spellStart"/>
      <w:r w:rsidR="00B140FF" w:rsidRPr="00B140FF">
        <w:rPr>
          <w:lang w:val="en-US"/>
        </w:rPr>
        <w:t>Ratliffs</w:t>
      </w:r>
      <w:proofErr w:type="spellEnd"/>
      <w:r w:rsidR="00B140FF" w:rsidRPr="00B140FF">
        <w:rPr>
          <w:lang w:val="en-US"/>
        </w:rPr>
        <w:t xml:space="preserve"> own the moon that floats over the lake, and the sun and the clouds. It is a place that has been good to them, as much a part of them as a member of the family. The idea of returning year after year to a </w:t>
      </w:r>
      <w:proofErr w:type="gramStart"/>
      <w:r w:rsidR="00B140FF" w:rsidRPr="00B140FF">
        <w:rPr>
          <w:lang w:val="en-US"/>
        </w:rPr>
        <w:t>single place appeals</w:t>
      </w:r>
      <w:proofErr w:type="gramEnd"/>
      <w:r w:rsidR="00B140FF" w:rsidRPr="00B140FF">
        <w:rPr>
          <w:lang w:val="en-US"/>
        </w:rPr>
        <w:t xml:space="preserve"> to Gogol deeply</w:t>
      </w:r>
      <w:r w:rsidR="00B140FF">
        <w:rPr>
          <w:lang w:val="en-US"/>
        </w:rPr>
        <w:t>” (285)</w:t>
      </w:r>
      <w:r w:rsidR="00B140FF" w:rsidRPr="00B140FF">
        <w:rPr>
          <w:lang w:val="en-US"/>
        </w:rPr>
        <w:t xml:space="preserve"> </w:t>
      </w:r>
      <w:r w:rsidR="00224CD1">
        <w:rPr>
          <w:lang w:val="en-US"/>
        </w:rPr>
        <w:t xml:space="preserve">Due to this view, he ends up giving himself </w:t>
      </w:r>
      <w:r>
        <w:rPr>
          <w:lang w:val="en-US"/>
        </w:rPr>
        <w:t>entire</w:t>
      </w:r>
      <w:r w:rsidR="00224CD1">
        <w:rPr>
          <w:lang w:val="en-US"/>
        </w:rPr>
        <w:t>ly to this new family</w:t>
      </w:r>
      <w:r>
        <w:rPr>
          <w:lang w:val="en-US"/>
        </w:rPr>
        <w:t xml:space="preserve"> (</w:t>
      </w:r>
      <w:proofErr w:type="spellStart"/>
      <w:r w:rsidR="00B140FF">
        <w:rPr>
          <w:lang w:val="en-US"/>
        </w:rPr>
        <w:t>Lahri</w:t>
      </w:r>
      <w:proofErr w:type="spellEnd"/>
      <w:r>
        <w:rPr>
          <w:lang w:val="en-US"/>
        </w:rPr>
        <w:t xml:space="preserve"> 285)</w:t>
      </w:r>
      <w:r w:rsidR="00224CD1">
        <w:rPr>
          <w:lang w:val="en-US"/>
        </w:rPr>
        <w:t>.</w:t>
      </w:r>
      <w:r w:rsidR="00B140FF">
        <w:rPr>
          <w:lang w:val="en-US"/>
        </w:rPr>
        <w:t xml:space="preserve"> </w:t>
      </w:r>
      <w:r w:rsidR="00224CD1">
        <w:rPr>
          <w:lang w:val="en-US"/>
        </w:rPr>
        <w:t xml:space="preserve">Also, Gogol has done all he can to lie that he does not have any </w:t>
      </w:r>
      <w:r w:rsidR="00224CD1" w:rsidRPr="00224CD1">
        <w:rPr>
          <w:lang w:val="en-US"/>
        </w:rPr>
        <w:t>Bengali past</w:t>
      </w:r>
      <w:r w:rsidR="00224CD1">
        <w:rPr>
          <w:lang w:val="en-US"/>
        </w:rPr>
        <w:t xml:space="preserve">, which he has succeeded because Maxine has already believed him. </w:t>
      </w:r>
      <w:r w:rsidR="00224CD1">
        <w:rPr>
          <w:lang w:val="en-US"/>
        </w:rPr>
        <w:t>Gogol</w:t>
      </w:r>
      <w:r w:rsidR="00224CD1">
        <w:rPr>
          <w:lang w:val="en-US"/>
        </w:rPr>
        <w:t xml:space="preserve"> has been losing himself trying to hide his true identity</w:t>
      </w:r>
      <w:r>
        <w:rPr>
          <w:lang w:val="en-US"/>
        </w:rPr>
        <w:t>,</w:t>
      </w:r>
      <w:r w:rsidR="00224CD1">
        <w:rPr>
          <w:lang w:val="en-US"/>
        </w:rPr>
        <w:t xml:space="preserve"> not knowing that Maxine wants to love him the way he is regardless of his culture. Therefore, it is almost impossible to assume that the relationship </w:t>
      </w:r>
      <w:r w:rsidR="00224CD1">
        <w:rPr>
          <w:lang w:val="en-US"/>
        </w:rPr>
        <w:lastRenderedPageBreak/>
        <w:t xml:space="preserve">will succeed. Thus, one prediction anyone can make is that the relationship is sure to fail because </w:t>
      </w:r>
      <w:r w:rsidR="00224CD1">
        <w:rPr>
          <w:lang w:val="en-US"/>
        </w:rPr>
        <w:t>Gogol</w:t>
      </w:r>
      <w:r w:rsidR="00224CD1">
        <w:rPr>
          <w:lang w:val="en-US"/>
        </w:rPr>
        <w:t xml:space="preserve"> does not want to identify with it. </w:t>
      </w:r>
    </w:p>
    <w:p w14:paraId="4A144955" w14:textId="2DC68B26" w:rsidR="00F60F5A" w:rsidRDefault="00F60F5A">
      <w:pPr>
        <w:spacing w:line="259" w:lineRule="auto"/>
        <w:rPr>
          <w:lang w:val="en-US"/>
        </w:rPr>
      </w:pPr>
      <w:r>
        <w:rPr>
          <w:lang w:val="en-US"/>
        </w:rPr>
        <w:br w:type="page"/>
      </w:r>
      <w:r w:rsidR="00C91E07">
        <w:rPr>
          <w:lang w:val="en-US"/>
        </w:rPr>
        <w:t xml:space="preserve"> </w:t>
      </w:r>
    </w:p>
    <w:p w14:paraId="63CBE78E" w14:textId="4419F9E0" w:rsidR="00224CD1" w:rsidRDefault="00F60F5A" w:rsidP="00F60F5A">
      <w:pPr>
        <w:spacing w:after="0"/>
        <w:contextualSpacing/>
        <w:jc w:val="center"/>
        <w:rPr>
          <w:lang w:val="en-US"/>
        </w:rPr>
      </w:pPr>
      <w:r>
        <w:rPr>
          <w:lang w:val="en-US"/>
        </w:rPr>
        <w:t>Works Cited</w:t>
      </w:r>
    </w:p>
    <w:p w14:paraId="3393EB4E" w14:textId="5402B47A" w:rsidR="00F60F5A" w:rsidRPr="00F60F5A" w:rsidRDefault="00F60F5A" w:rsidP="00F60F5A">
      <w:pPr>
        <w:spacing w:after="0"/>
        <w:contextualSpacing/>
        <w:rPr>
          <w:rFonts w:cs="Times New Roman"/>
          <w:sz w:val="32"/>
          <w:szCs w:val="28"/>
          <w:lang w:val="en-US"/>
        </w:rPr>
      </w:pPr>
      <w:proofErr w:type="spellStart"/>
      <w:r w:rsidRPr="00F60F5A">
        <w:rPr>
          <w:rFonts w:cs="Times New Roman"/>
          <w:color w:val="222222"/>
          <w:szCs w:val="24"/>
          <w:shd w:val="clear" w:color="auto" w:fill="FFFFFF"/>
        </w:rPr>
        <w:t>Lahiri</w:t>
      </w:r>
      <w:proofErr w:type="spellEnd"/>
      <w:r w:rsidRPr="00F60F5A">
        <w:rPr>
          <w:rFonts w:cs="Times New Roman"/>
          <w:color w:val="222222"/>
          <w:szCs w:val="24"/>
          <w:shd w:val="clear" w:color="auto" w:fill="FFFFFF"/>
        </w:rPr>
        <w:t>, Jhumpa. </w:t>
      </w:r>
      <w:r w:rsidRPr="00F60F5A">
        <w:rPr>
          <w:rFonts w:cs="Times New Roman"/>
          <w:i/>
          <w:iCs/>
          <w:color w:val="222222"/>
          <w:szCs w:val="24"/>
          <w:shd w:val="clear" w:color="auto" w:fill="FFFFFF"/>
        </w:rPr>
        <w:t>The namesake: a novel</w:t>
      </w:r>
      <w:r w:rsidRPr="00F60F5A">
        <w:rPr>
          <w:rFonts w:cs="Times New Roman"/>
          <w:color w:val="222222"/>
          <w:szCs w:val="24"/>
          <w:shd w:val="clear" w:color="auto" w:fill="FFFFFF"/>
        </w:rPr>
        <w:t>. Houghton Mifflin Harcourt, 2004.</w:t>
      </w:r>
    </w:p>
    <w:sectPr w:rsidR="00F60F5A" w:rsidRPr="00F60F5A">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64013" w14:textId="77777777" w:rsidR="003B14F8" w:rsidRDefault="003B14F8" w:rsidP="00224CD1">
      <w:pPr>
        <w:spacing w:after="0" w:line="240" w:lineRule="auto"/>
      </w:pPr>
      <w:r>
        <w:separator/>
      </w:r>
    </w:p>
  </w:endnote>
  <w:endnote w:type="continuationSeparator" w:id="0">
    <w:p w14:paraId="0127B749" w14:textId="77777777" w:rsidR="003B14F8" w:rsidRDefault="003B14F8" w:rsidP="00224C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2250B" w14:textId="77777777" w:rsidR="003B14F8" w:rsidRDefault="003B14F8" w:rsidP="00224CD1">
      <w:pPr>
        <w:spacing w:after="0" w:line="240" w:lineRule="auto"/>
      </w:pPr>
      <w:r>
        <w:separator/>
      </w:r>
    </w:p>
  </w:footnote>
  <w:footnote w:type="continuationSeparator" w:id="0">
    <w:p w14:paraId="4F4E5075" w14:textId="77777777" w:rsidR="003B14F8" w:rsidRDefault="003B14F8" w:rsidP="00224C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B8999" w14:textId="0FBCB91F" w:rsidR="00224CD1" w:rsidRDefault="00224CD1">
    <w:pPr>
      <w:pStyle w:val="Header"/>
      <w:jc w:val="right"/>
    </w:pPr>
    <w:r>
      <w:rPr>
        <w:lang w:val="en-US"/>
      </w:rPr>
      <w:t xml:space="preserve">Surname </w:t>
    </w:r>
    <w:sdt>
      <w:sdtPr>
        <w:id w:val="-345180264"/>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24A157F2" w14:textId="77777777" w:rsidR="00224CD1" w:rsidRDefault="00224CD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KxtDC1NDA3NTexNDFR0lEKTi0uzszPAykwrAUAfJgT+iwAAAA="/>
  </w:docVars>
  <w:rsids>
    <w:rsidRoot w:val="00224CD1"/>
    <w:rsid w:val="00224CD1"/>
    <w:rsid w:val="003B14F8"/>
    <w:rsid w:val="00451F29"/>
    <w:rsid w:val="00505E6E"/>
    <w:rsid w:val="0057084A"/>
    <w:rsid w:val="007F16E9"/>
    <w:rsid w:val="00B140FF"/>
    <w:rsid w:val="00B768AE"/>
    <w:rsid w:val="00C91E07"/>
    <w:rsid w:val="00F60F5A"/>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98423"/>
  <w15:chartTrackingRefBased/>
  <w15:docId w15:val="{0F68C604-485E-4FFC-84F1-D1303EABC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84A"/>
    <w:pPr>
      <w:spacing w:line="48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4C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4CD1"/>
    <w:rPr>
      <w:rFonts w:ascii="Times New Roman" w:hAnsi="Times New Roman"/>
      <w:sz w:val="24"/>
    </w:rPr>
  </w:style>
  <w:style w:type="paragraph" w:styleId="Footer">
    <w:name w:val="footer"/>
    <w:basedOn w:val="Normal"/>
    <w:link w:val="FooterChar"/>
    <w:uiPriority w:val="99"/>
    <w:unhideWhenUsed/>
    <w:rsid w:val="00224C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4CD1"/>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3</Pages>
  <Words>301</Words>
  <Characters>1718</Characters>
  <Application>Microsoft Office Word</Application>
  <DocSecurity>0</DocSecurity>
  <Lines>14</Lines>
  <Paragraphs>4</Paragraphs>
  <ScaleCrop>false</ScaleCrop>
  <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2021-08-03T21:09:00Z</dcterms:created>
  <dcterms:modified xsi:type="dcterms:W3CDTF">2021-08-03T22:29:00Z</dcterms:modified>
</cp:coreProperties>
</file>